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0"/>
        <w:jc w:val="left"/>
        <w:shd w:val="clear" w:color="auto" w:fill="0F1B3A"/>
      </w:pPr>
      <w:r>
        <w:rPr>
          <w:rFonts w:ascii="Calibri" w:hAnsi="Calibri" w:cs="Calibri" w:eastAsia="Calibri"/>
          <w:b/>
          <w:i w:val="0"/>
          <w:color w:val="FFFFFF"/>
          <w:sz w:val="18"/>
        </w:rPr>
        <w:t xml:space="preserve">  SIGMA  ·  ОТДЕЛЬНЫЙ УРОК  </w:t>
      </w:r>
    </w:p>
    <w:p>
      <w:pPr>
        <w:spacing w:after="80"/>
      </w:pPr>
      <w:r>
        <w:rPr>
          <w:rFonts w:ascii="Calibri" w:hAnsi="Calibri" w:cs="Calibri" w:eastAsia="Calibri"/>
          <w:b/>
          <w:i w:val="0"/>
          <w:color w:val="B88B2A"/>
          <w:sz w:val="22"/>
        </w:rPr>
        <w:t>ИНТЕГРАТИВНЫЙ КОНСУЛЬТАНТ</w:t>
      </w:r>
    </w:p>
    <w:p>
      <w:pPr>
        <w:spacing w:after="160"/>
      </w:pPr>
      <w:r>
        <w:rPr>
          <w:rFonts w:ascii="Calibri" w:hAnsi="Calibri" w:cs="Calibri" w:eastAsia="Calibri"/>
          <w:b w:val="0"/>
          <w:i w:val="0"/>
          <w:color w:val="5A606A"/>
          <w:sz w:val="20"/>
        </w:rPr>
        <w:t>Модуль 2: Интегративный выбор интервенций  ·  Урок 2.3</w:t>
      </w:r>
    </w:p>
    <w:p>
      <w:pPr>
        <w:spacing w:after="120" w:line="264" w:lineRule="auto"/>
      </w:pPr>
      <w:r>
        <w:rPr>
          <w:rFonts w:ascii="Calibri" w:hAnsi="Calibri" w:cs="Calibri" w:eastAsia="Calibri"/>
          <w:b/>
          <w:i w:val="0"/>
          <w:color w:val="112B6B"/>
          <w:sz w:val="48"/>
        </w:rPr>
        <w:t>Работа с типовыми запросами: тревога, депрессия, отношения, самооценка</w:t>
      </w:r>
    </w:p>
    <w:p>
      <w:pPr>
        <w:spacing w:after="280"/>
      </w:pPr>
      <w:r>
        <w:rPr>
          <w:rFonts w:ascii="Calibri" w:hAnsi="Calibri" w:cs="Calibri" w:eastAsia="Calibri"/>
          <w:b w:val="0"/>
          <w:i/>
          <w:color w:val="5A606A"/>
          <w:sz w:val="18"/>
        </w:rPr>
        <w:t>~15 мин · теория · протоколы · практика планирования</w:t>
      </w:r>
    </w:p>
    <w:p>
      <w:pPr>
        <w:pBdr>
          <w:bottom w:val="single" w:sz="6" w:space="1" w:color="C9CDD3"/>
        </w:pBdr>
      </w:pPr>
    </w:p>
    <w:p/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Парадокс практики начинающего консультанта: первые двадцать сессий ты учишься удерживать кадр и не разваливаться от чужой боли, а потом обнаруживаешь, что 80% клиентов приходят с одним и тем же — «тревожусь, не могу спать», «нет сил, всё надоело», «с партнёром невыносимо», «себя не люблю». И тут возникает соблазн, который дорого обходится: каждый раз начинать с чистого листа, импровизировать, искать «своего подхода» в моменте. Это похоже на хирурга, который к каждой аппендэктомии готовится как к уникальной операции — формально красиво, но клиент платит за твою растерянность.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Зрелый консультант работает иначе. У него в голове есть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протоколы первых сессий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для типовых запросов — не жёсткие сценарии, а каркасы, на которые он навешивает индивидуальную работу. Это освобождает внимание: ты не думаешь «что мне сейчас делать», ты думаешь «что происходит с этим конкретным человеком». В этом уроке мы разберём четыре самых частых запроса и соберём для каждого интегративный план на 10–15 сессий с маркерами прогресса.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Зачем нужны протоколы, если каждый клиент уникален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Протокол — это не алгоритм «нажми кнопку получи результат». Это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скелет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, который даёт тебе три вещи: понимание, что обязательно нужно сделать в первые сессии (иначе работа провалится); набор инструментов, чья эффективность по этому запросу подтверждена исследованиями; и метрики, по которым ты и клиент будете видеть динамику. Уникальность клиента живёт внутри этого скелета — в том, как именно ты будешь работать с его конкретной тревогой, с его конкретным паттерном отношений.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Без протокола ты попадаешь в одну из трёх ловушек. Первая —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верность одному методу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: гештальтист с тревожным клиентом будет три месяца искать чувство в теле, тогда как метаанализы показывают, что психообразование и поведенческая активация дадут результат уже к четвёртой сессии. Вторая ловушка —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погоня за инсайтом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: ты ждёшь, что клиент «осознает», и всё разрешится, а клиент тем временем продолжает жить в тревоге. Третья —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бесконечное исследование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пятнадцать сессий «исследуем ваши отношения с матерью», и клиент уходит, потому что симптом не сдвинулся.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Тревожные запросы: протокол первых 15 сессий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Тревога — самый частый запрос в кабинете. И самый благодарный: при грамотной работе клиент чувствует облегчение уже к 3–5 сессии. Но это работает только если ты не идёшь в исследовательский разговор «откуда у вас тревога», а действуешь структурно.</w:t>
      </w:r>
    </w:p>
    <w:p/>
    <w:p>
      <w:pPr>
        <w:spacing w:before="200" w:after="60"/>
      </w:pPr>
      <w:r>
        <w:rPr>
          <w:rFonts w:ascii="Calibri" w:hAnsi="Calibri" w:cs="Calibri" w:eastAsia="Calibri"/>
          <w:b/>
          <w:i w:val="0"/>
          <w:color w:val="112B6B"/>
          <w:sz w:val="24"/>
        </w:rPr>
        <w:t>Сессии 1–3: оценка, психообразование, контракт на работу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Первая задача —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дифференцировать тип тревоги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. Генерализованное тревожное расстройство, паническое расстройство, социальная тревога, обсессивно-компульсивные проявления, тревога как маска депрессии — это разные мишени с разными интервенциями. Используй структурированное расспрашивание: когда тревога возникла впервые, есть ли триггеры, как она проявляется телесно, есть ли избегающее поведение, как изменилась жизнь за последний год. Параллельно — шкалы: GAD-7 для генерализованной тревоги, PHQ-9 для отсеивания депрессии, шкала Шихана для оценки функционального снижения. Это не бюрократия, а твоя точка отсчёта.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На второй сессии —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психообразование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. Объясни клиенту нейрофизиологию тревожной реакции: миндалина, симпатическая активация, гипервентиляция, замкнутый круг «ощущение — катастрофизация — усиление ощущения». Покажи модель «тревога как ложная тревога» — сигнализация срабатывает там, где нет реальной угрозы. Это снимает стыд и даёт язык для самонаблюдения. На третьей сессии —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дневник тревоги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ситуация, телесные ощущения, мысль, поведение, интенсивность от 0 до 10. Этот дневник станет рабочим инструментом следующих недель.</w:t>
      </w:r>
    </w:p>
    <w:p/>
    <w:p>
      <w:pPr>
        <w:spacing w:before="200" w:after="60"/>
      </w:pPr>
      <w:r>
        <w:rPr>
          <w:rFonts w:ascii="Calibri" w:hAnsi="Calibri" w:cs="Calibri" w:eastAsia="Calibri"/>
          <w:b/>
          <w:i w:val="0"/>
          <w:color w:val="112B6B"/>
          <w:sz w:val="24"/>
        </w:rPr>
        <w:t>Сессии 4–8: работа с поддерживающими факторами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Здесь подключается основной арсенал. Для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физиологического компонента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— диафрагмальное дыхание, прогрессивная мышечная релаксация по Джекобсону, заземление через органы чувств. Это не «расслабиться», это перенастройка вегетатики, которой нужно обучаться. Для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когнитивного компонента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— работа с катастрофизацией: техника «худший—лучший—реалистичный сценарий», разбор когнитивных искажений, поведенческие эксперименты по проверке тревожных прогнозов. Для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поведенческого компонента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— экспозиция, постепенное приближение к избегаемым ситуациям с иерархией от 0 до 100 баллов.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Если есть схема-уровень — например, клиент в детстве жил в семье с непредсказуемым родителем и сформировал режим гипербдительности — добавляется работа со схемой уязвимости, диалог с «маленькой частью» и взращивание здорового взрослого. Но эта работа идёт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параллельно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с симптоматической, а не вместо неё.</w:t>
      </w:r>
    </w:p>
    <w:p/>
    <w:p>
      <w:pPr>
        <w:spacing w:before="200" w:after="60"/>
      </w:pPr>
      <w:r>
        <w:rPr>
          <w:rFonts w:ascii="Calibri" w:hAnsi="Calibri" w:cs="Calibri" w:eastAsia="Calibri"/>
          <w:b/>
          <w:i w:val="0"/>
          <w:color w:val="112B6B"/>
          <w:sz w:val="24"/>
        </w:rPr>
        <w:t>Сессии 9–15: закрепление, профилактика рецидива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Когда GAD-7 снижается ниже 7, а функциональность восстанавливается, важно не торопиться завершать. Последние сессии — это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сборка плана профилактики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какие триггеры могут активировать тревогу снова, какие ранние сигналы клиент будет ловить, какой набор инструментов он уже умеет применять самостоятельно. Назначаются сессии раз в две недели, потом раз в месяц.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Маркеры прогресса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снижение GAD-7 минимум на 5 пунктов, уменьшение избегающего поведения, восстановление сна, возвращение к социальной активности, способность переживать тревогу не борясь с ней.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Депрессивные запросы: что делать, когда у клиента нет ресурса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Депрессия требует другой логики. Если с тревогой можно сразу идти в когнитивную работу, то депрессивный клиент часто не имеет сил даже на ведение дневника. Здесь нужен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поведенческий вход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и работа с базовой функциональностью.</w:t>
      </w:r>
    </w:p>
    <w:p/>
    <w:p>
      <w:pPr>
        <w:spacing w:before="200" w:after="60"/>
      </w:pPr>
      <w:r>
        <w:rPr>
          <w:rFonts w:ascii="Calibri" w:hAnsi="Calibri" w:cs="Calibri" w:eastAsia="Calibri"/>
          <w:b/>
          <w:i w:val="0"/>
          <w:color w:val="112B6B"/>
          <w:sz w:val="24"/>
        </w:rPr>
        <w:t>Сессии 1–3: оценка риска и активация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Первая сессия — обязательная оценка суицидального риска (подробно мы это разберём в модуле 4). Здесь же — дифференциация: эпизод средней тяжести, тяжёлый эпизод с витальной симптоматикой, дистимия, биполярные паттерны в анамнезе, реактивная депрессия после потери. При тяжёлой симптоматике — обязательная маршрутизация к психиатру, без этого работа неэффективна. Психообразование тут другое, чем при тревоге: ты объясняешь, что депрессия — это не лень и не слабость, что в этом состоянии когнитивные функции и мотивационная система работают иначе, что выход не через «взять себя в руки», а через постепенное возвращение функциональности.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Со второй-третьей сессии —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поведенческая активация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. Это базовая интервенция при депрессии с сильнейшей доказательной базой. Клиент составляет почасовое расписание недели и оценивает каждый блок по двум шкалам: удовольствие (0–10) и достижение/мастерство (0–10). Дальше ты вместе планируете маленькие действия, которые могут поднять эти показатели, — не «займусь спортом», а «выйду из дома на 15 минут во вторник в 11 утра». Принцип: сначала действие, потом настроение, а не наоборот. Это контринтуитивно для клиента, и здесь нужно много психообразования.</w:t>
      </w:r>
    </w:p>
    <w:p/>
    <w:p>
      <w:pPr>
        <w:spacing w:before="200" w:after="60"/>
      </w:pPr>
      <w:r>
        <w:rPr>
          <w:rFonts w:ascii="Calibri" w:hAnsi="Calibri" w:cs="Calibri" w:eastAsia="Calibri"/>
          <w:b/>
          <w:i w:val="0"/>
          <w:color w:val="112B6B"/>
          <w:sz w:val="24"/>
        </w:rPr>
        <w:t>Сессии 4–10: работа с когнициями и смыслом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Когда базовая активность восстанавливается, подключается когнитивный пласт. Депрессивная триада Бека: негативный взгляд на себя, на мир, на будущее. Работа с автоматическими мыслями, выявление глубинных убеждений («я никчёмный», «меня нельзя любить», «всё бесполезно»), поведенческие эксперименты. Параллельно — работа с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руминациями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техника отвлечения внимания, дифференциация конструктивного размышления и бесплодного пережёвывания.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Если депрессия связана с потерей — работы со смыслом, экзистенциальная фокусировка, элементы логотерапии. Если за депрессией стоит выгорание и хроническое игнорирование собственных потребностей — подключается работа с границами и ассертивностью. Если есть схема дефективности или неуспеха — схема-терапевтическая работа с детскими режимами.</w:t>
      </w:r>
    </w:p>
    <w:p/>
    <w:p>
      <w:pPr>
        <w:spacing w:before="200" w:after="60"/>
      </w:pPr>
      <w:r>
        <w:rPr>
          <w:rFonts w:ascii="Calibri" w:hAnsi="Calibri" w:cs="Calibri" w:eastAsia="Calibri"/>
          <w:b/>
          <w:i w:val="0"/>
          <w:color w:val="112B6B"/>
          <w:sz w:val="24"/>
        </w:rPr>
        <w:t>Сессии 11–15: устойчивость и профилактика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PHQ-9 ниже 5, восстановилась повседневная функциональность, появилось будущее в речи клиента — можно идти к завершению. Профилактика рецидива при депрессии особенно важна: вероятность повторного эпизода после первого — около 50%, после второго — около 70%. Клиент должен знать свои ранние симптомы рецидива (обычно это нарушения сна, снижение интереса, социальная изоляция) и иметь план действий.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Маркеры прогресса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снижение PHQ-9 минимум на 5 пунктов, появление приятных активностей в расписании, восстановление аппетита и сна, снижение руминаций, возвращение интереса к будущему.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Запросы про отношения: между симптомом и системой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Здесь возникает первая большая ловушка. Клиент приходит с запросом «у нас с мужем всё плохо», и неопытный консультант начинает работать с парой через одного человека — давать советы, как разговаривать с партнёром, обсуждать его поведение. Это не работает. Партнёра нет в кабинете, мы не имеем о нём объективных данных, и наша работа — не починить отношения, а помочь клиенту разобраться с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его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частью динамики.</w:t>
      </w:r>
    </w:p>
    <w:p/>
    <w:p>
      <w:pPr>
        <w:spacing w:before="200" w:after="60"/>
      </w:pPr>
      <w:r>
        <w:rPr>
          <w:rFonts w:ascii="Calibri" w:hAnsi="Calibri" w:cs="Calibri" w:eastAsia="Calibri"/>
          <w:b/>
          <w:i w:val="0"/>
          <w:color w:val="112B6B"/>
          <w:sz w:val="24"/>
        </w:rPr>
        <w:t>Сессии 1–3: прояснение запроса и контекста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Первая задача —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расщепить запрос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. «У нас плохо» может означать как минимум пять разных вещей: я хочу научиться по-другому реагировать на партнёра; я хочу понять, оставаться ли мне в отношениях; я страдаю от конкретного паттерна (ревность, контроль, эмоциональная дистанция); я переживаю кризис отношений после события (измена, рождение ребёнка, переезд); у меня в принципе не складываются отношения, и я хочу понять почему. Это разные запросы с разной работой.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Параллельно — сбор истории: длительность отношений, ключевые точки, кризисы, наличие насилия (физического, сексуального, экономического, психологического — обязательная проверка), наличие детей, степень созависимости, история отношений до этих. Если выявляется насилие — приоритет смещается на безопасность, и работа меняется радикально.</w:t>
      </w:r>
    </w:p>
    <w:p/>
    <w:p>
      <w:pPr>
        <w:spacing w:before="200" w:after="60"/>
      </w:pPr>
      <w:r>
        <w:rPr>
          <w:rFonts w:ascii="Calibri" w:hAnsi="Calibri" w:cs="Calibri" w:eastAsia="Calibri"/>
          <w:b/>
          <w:i w:val="0"/>
          <w:color w:val="112B6B"/>
          <w:sz w:val="24"/>
        </w:rPr>
        <w:t>Сессии 4–10: работа со своей частью динамики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Здесь хорошо работает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теория привязанности и ЭФТ-оптика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. Помогаешь клиенту увидеть собственный стиль привязанности (тревожный, избегающий, дезорганизованный), паттерны преследования—отстранения в отношениях, эмоциональные триггеры. Дальше — работа с этими паттернами: как клиент реагирует на дистанцию партнёра, что чувствует, какие защиты включает, как это запускает реактивный цикл.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Если в анамнезе ранние травматичные отношения с родителями — подключается схема-терапия: режимы «покинутого ребёнка», «требовательного родителя», «отстранённого защитника». Если работа в плоскости «здесь и сейчас» — гештальт-фокусировка на актуальном чувстве, эксперимент с пустым стулом, проработка незавершённого. Если запрос про коммуникацию — конкретные навыки: я-сообщения, ненасильственное общение по Розенбергу, активное слушание, тайм-ауты при эскалации.</w:t>
      </w:r>
    </w:p>
    <w:p/>
    <w:p>
      <w:pPr>
        <w:spacing w:before="200" w:after="60"/>
      </w:pPr>
      <w:r>
        <w:rPr>
          <w:rFonts w:ascii="Calibri" w:hAnsi="Calibri" w:cs="Calibri" w:eastAsia="Calibri"/>
          <w:b/>
          <w:i w:val="0"/>
          <w:color w:val="112B6B"/>
          <w:sz w:val="24"/>
        </w:rPr>
        <w:t>Сессии 11–15: интеграция и решение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К этому моменту обычно проявляется направление: клиент либо обнаруживает ресурс изменений в отношениях и реализует его, либо принимает решение о завершении отношений, либо стабилизируется в новой позиции внутри сложных отношений (например, при невозможности уйти от партнёра-родителя общих детей). Твоя задача — поддержать движение клиента, а не навязывать своё видение.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Маркеры прогресса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клиент перестаёт говорить только про партнёра и начинает говорить про себя; уменьшается реактивность в конкретных ситуациях; появляются новые поведенческие реакции; формулируется собственная позиция и потребности; снижается интенсивность эмоциональных бурь после ссор.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Запросы о самооценке: ловушка симптома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Самооценка — пожалуй, самый коварный запрос. «Хочу повысить самооценку» — это не запрос, это переводное название для десятка разных проблем. Здесь ключевая работа происходит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до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интервенций: в переформулировке запроса.</w:t>
      </w:r>
    </w:p>
    <w:p/>
    <w:p>
      <w:pPr>
        <w:spacing w:before="200" w:after="60"/>
      </w:pPr>
      <w:r>
        <w:rPr>
          <w:rFonts w:ascii="Calibri" w:hAnsi="Calibri" w:cs="Calibri" w:eastAsia="Calibri"/>
          <w:b/>
          <w:i w:val="0"/>
          <w:color w:val="112B6B"/>
          <w:sz w:val="24"/>
        </w:rPr>
        <w:t>Сессии 1–3: что на самом деле болит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За «низкой самооценкой» обычно стоит одно из: схема дефективности (я в основе своей плохой, недостойный), схема неуспеха (я ничего не могу достичь), социальная тревога с избеганием оценки, перфекционизм с хроническим обесцениванием себя, последствия эмоционального пренебрежения в детстве, нарциссическая уязвимость с колебаниями между грандиозностью и стыдом, депрессивная картина мира.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Твоя работа в первых сессиях —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операционализировать запрос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. Когда именно проявляется «низкая самооценка»? Что клиент в эти моменты думает? Чувствует? Делает или не делает? Чего избегает? Сравнивает ли себя с другими? Как звучит внутренний критик? Откуда этот голос? Когда впервые появилось это ощущение себя? Эта диагностическая работа уже терапевтична — клиент впервые видит структуру того, что казалось монолитным «я плохой».</w:t>
      </w:r>
    </w:p>
    <w:p/>
    <w:p>
      <w:pPr>
        <w:spacing w:before="200" w:after="60"/>
      </w:pPr>
      <w:r>
        <w:rPr>
          <w:rFonts w:ascii="Calibri" w:hAnsi="Calibri" w:cs="Calibri" w:eastAsia="Calibri"/>
          <w:b/>
          <w:i w:val="0"/>
          <w:color w:val="112B6B"/>
          <w:sz w:val="24"/>
        </w:rPr>
        <w:t>Сессии 4–10: работа со схемой и режимами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Основной инструмент —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схема-терапия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. Идентифицируем активные дезадаптивные схемы, работаем с режимом внутреннего критика (часто это интернализованный голос значимого взрослого), укрепляем режим здорового взрослого. Техники: диалог с критиком на двух стульях, написание писем родителю, образная работа с переписыванием травматичных сцен детства.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Параллельно —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поведенческий пласт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. Список достижений, которые клиент обесценивает; эксперименты с показом себя (выложить пост, попросить о повышении, отказать в просьбе); работа с самосостраданием по Кристин Нефф — медитативные практики, упражнение «как бы я говорил с другом в такой ситуации». Если есть перфекционизм — работа с допустимой ошибкой, эксперименты с «достаточно хорошо», а не «идеально».</w:t>
      </w:r>
    </w:p>
    <w:p/>
    <w:p>
      <w:pPr>
        <w:spacing w:before="200" w:after="60"/>
      </w:pPr>
      <w:r>
        <w:rPr>
          <w:rFonts w:ascii="Calibri" w:hAnsi="Calibri" w:cs="Calibri" w:eastAsia="Calibri"/>
          <w:b/>
          <w:i w:val="0"/>
          <w:color w:val="112B6B"/>
          <w:sz w:val="24"/>
        </w:rPr>
        <w:t>Сессии 11–15: новая идентичность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Самооценка не «повышается» — меняется отношение к себе и способ относиться к своим достижениям и неудачам. К завершению клиент должен иметь язык для самонаблюдения, набор практик самоподдержки, опыт переживания неуспеха без падения в стыд, способность видеть свои сильные стороны без обесценивания. Это длинная работа, и часто 15 сессий — только начало.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Маркеры прогресса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уменьшение частоты и интенсивности самокритики; появление в речи нейтральных и положительных самоописаний; способность принимать комплименты; снижение избегающего поведения; восстановление инициативы в значимых областях.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Два кейса для иллюстрации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Кейс первый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. Женщина 34 лет, запрос — «постоянно тревожусь». На первой сессии выяснилось: тревога началась после рождения второго ребёнка год назад, центрирована вокруг здоровья детей, есть проверочные ритуалы (по 10 раз проверяет дыхание младенца ночью). GAD-7 — 16. PHQ-9 — 8. План: первые три сессии — психообразование о послеродовой тревоге, дифференциация с ОКР, дневник тревоги. Сессии 4–8 — экспозиция с предотвращением ритуала, работа с катастрофическими мыслями. Сессии 9–12 — работа со схемой уязвимости (мать клиентки умерла в её 7 лет от внезапной болезни). К 12-й сессии GAD-7 — 6, ритуалы редуцированы.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Кейс второй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. Мужчина 42 лет, запрос — «низкая самооценка, не могу пробить потолок в карьере». Диагностика выявила: схема неуспеха, перфекционизм, отец-критик в анамнезе, прокрастинация на ключевых задачах, избегание оценки. Депрессия отсутствует. План: сессии 1–3 — переформулировка запроса, выявление паттернов избегания. Сессии 4–10 — работа с внутренним критиком методом двух стульев, поведенческие эксперименты с «несовершенными» действиями, отслеживание прокрастинации как стратегии избегания стыда. Сессии 11–15 — закрепление, работа с предъявлением себя на работе. К концу — два успешных проекта, в которых клиент не довёл до перфекционистского ступора, и заявка на повышение.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Домашнее задание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Возьми одного своего текущего клиента с одним из четырёх типовых запросов. Составь письменный план работы на 15 сессий по следующей структуре: уточнённая формулировка запроса; первичная гипотеза по 4П-модели; план сессий 1–3 с конкретными интервенциями; план сессий 4–10; план сессий 11–15; три-четыре маркера прогресса с указанием инструментов измерения (шкалы, поведенческие индикаторы, речевые маркеры). Через две недели работы по этому плану сверься: где реальная работа отклоняется от плана и почему. Это и есть твой материал для супервизии.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Чек-лист урока</w:t>
      </w:r>
    </w:p>
    <w:p/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Протоколы — не алгоритмы, а каркасы; уникальность клиента живёт внутри каркаса.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При тревоге работает связка: психообразование, дневник, дыхательные техники, когнитивная работа, экспозиция.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При депрессии первична поведенческая активация, и только потом когнитивная работа.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При запросах об отношениях работаем со своей частью динамики клиента, не с отсутствующим партнёром.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За «низкой самооценкой» всегда стоит более конкретная проблема — её нужно операционализировать.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В каждом запросе используй валидные шкалы для отсчётной точки и динамики.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Маркеры прогресса должны быть видны и тебе, и клиенту — это удерживает мотивацию.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Профилактика рецидива — обязательная часть последних сессий, а не опция.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Что дальше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Мы собрали каркасы для типовых запросов и научились их структурировать. Но любой самый продуманный план разваливается в одной точке — когда в кабинете происходит что-то, чего ты не планировал. Клиент замолкает, обесценивает работу, обижается на твою реплику, и план перестаёт работать. В следующем модуле мы войдём в зону, где техника заканчивается и начинается клиническое искусство: работа с альянсом, контрпереносом и сопротивлением. Начнём с самого болезненного — разрывов альянса прямо в сессии и того, как их чинить, не теряя ни клиента, ни себя.</w:t>
      </w:r>
    </w:p>
    <w:p>
      <w:pPr>
        <w:spacing w:before="480"/>
      </w:pPr>
      <w:r>
        <w:rPr>
          <w:rFonts w:ascii="Calibri" w:hAnsi="Calibri" w:cs="Calibri" w:eastAsia="Calibri"/>
          <w:b w:val="0"/>
          <w:i/>
          <w:color w:val="5A606A"/>
          <w:sz w:val="18"/>
        </w:rPr>
        <w:t>Часть курса «Психолог-консультант: интегративная практика и работа со сложными кейсами»  ·  Сгенерировано: 10.06.2026, 01:46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cs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60"/>
      <w:outlineLvl w:val="0"/>
    </w:pPr>
    <w:rPr>
      <w:rFonts w:asciiTheme="majorHAnsi" w:eastAsiaTheme="majorEastAsia" w:hAnsiTheme="majorHAnsi" w:cstheme="majorBidi" w:ascii="Calibri" w:hAnsi="Calibri" w:cs="Calibri" w:eastAsia="Calibri"/>
      <w:b/>
      <w:bCs/>
      <w:color w:val="112B6B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 w:cs="Calibri" w:eastAsia="Calibri"/>
      <w:b/>
      <w:bCs/>
      <w:color w:val="112B6B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80" w:after="80"/>
      <w:outlineLvl w:val="2"/>
    </w:pPr>
    <w:rPr>
      <w:rFonts w:asciiTheme="majorHAnsi" w:eastAsiaTheme="majorEastAsia" w:hAnsiTheme="majorHAnsi" w:cstheme="majorBidi" w:ascii="Calibri" w:hAnsi="Calibri" w:cs="Calibri" w:eastAsia="Calibri"/>
      <w:b/>
      <w:bCs/>
      <w:color w:val="112B6B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